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A0" w:rsidRDefault="005C14A0" w:rsidP="005C14A0">
      <w:pPr>
        <w:spacing w:before="100" w:beforeAutospacing="1" w:after="100" w:afterAutospacing="1"/>
        <w:rPr>
          <w:rFonts w:ascii="Times" w:hAnsi="Times"/>
          <w:color w:val="0000FF"/>
          <w:sz w:val="20"/>
          <w:szCs w:val="20"/>
          <w:u w:val="single"/>
          <w:lang w:val="en-AU"/>
        </w:rPr>
      </w:pPr>
      <w:r>
        <w:rPr>
          <w:rFonts w:ascii="Times" w:hAnsi="Times"/>
          <w:sz w:val="20"/>
          <w:szCs w:val="20"/>
          <w:lang w:val="en-AU"/>
        </w:rPr>
        <w:t>This material is copied from Heat T</w:t>
      </w:r>
      <w:bookmarkStart w:id="0" w:name="_GoBack"/>
      <w:bookmarkEnd w:id="0"/>
      <w:r>
        <w:rPr>
          <w:rFonts w:ascii="Times" w:hAnsi="Times"/>
          <w:sz w:val="20"/>
          <w:szCs w:val="20"/>
          <w:lang w:val="en-AU"/>
        </w:rPr>
        <w:t xml:space="preserve">ransfer on the website </w:t>
      </w:r>
      <w:hyperlink r:id="rId5" w:history="1">
        <w:r w:rsidRPr="00453A59">
          <w:rPr>
            <w:rFonts w:ascii="Times" w:hAnsi="Times"/>
            <w:color w:val="0000FF"/>
            <w:sz w:val="20"/>
            <w:szCs w:val="20"/>
            <w:u w:val="single"/>
            <w:lang w:val="en-AU"/>
          </w:rPr>
          <w:t>http://www.roymech.co.uk/Related/Thermos/Thermos_HeatTransfer.html</w:t>
        </w:r>
      </w:hyperlink>
    </w:p>
    <w:p w:rsidR="005C14A0" w:rsidRDefault="005C14A0" w:rsidP="005C14A0">
      <w:pPr>
        <w:spacing w:before="100" w:beforeAutospacing="1" w:after="100" w:afterAutospacing="1"/>
        <w:rPr>
          <w:rFonts w:ascii="Times" w:hAnsi="Times"/>
          <w:sz w:val="20"/>
          <w:szCs w:val="20"/>
          <w:lang w:val="en-AU"/>
        </w:rPr>
      </w:pPr>
      <w:r>
        <w:rPr>
          <w:rFonts w:ascii="Times" w:hAnsi="Times"/>
          <w:sz w:val="20"/>
          <w:szCs w:val="20"/>
          <w:lang w:val="en-AU"/>
        </w:rPr>
        <w:t>This website is extremely technical and very slow to load, so by making the relevant data available in a file access for students becomes possible.</w:t>
      </w:r>
    </w:p>
    <w:p w:rsidR="005C14A0" w:rsidRPr="00453A59" w:rsidRDefault="005C14A0" w:rsidP="005C14A0">
      <w:pPr>
        <w:spacing w:before="100" w:beforeAutospacing="1" w:after="100" w:afterAutospacing="1"/>
        <w:rPr>
          <w:rFonts w:ascii="Times" w:hAnsi="Times"/>
          <w:sz w:val="20"/>
          <w:szCs w:val="20"/>
          <w:lang w:val="en-AU"/>
        </w:rPr>
      </w:pPr>
      <w:r w:rsidRPr="00453A59">
        <w:rPr>
          <w:rFonts w:ascii="Times" w:hAnsi="Times"/>
          <w:sz w:val="20"/>
          <w:szCs w:val="20"/>
          <w:lang w:val="en-AU"/>
        </w:rPr>
        <w:t>Materials with relatively high heat transfer coefficients are referred to as thermal conductors. Materials with relatively low heat transfer coefficients are referred to as thermal insulators. The table below lists heat transfer coefficients (k) for a variety of materials, in units of W/m/°C.</w:t>
      </w:r>
    </w:p>
    <w:tbl>
      <w:tblPr>
        <w:tblW w:w="0" w:type="auto"/>
        <w:jc w:val="center"/>
        <w:tblCellSpacing w:w="50" w:type="dxa"/>
        <w:tblCellMar>
          <w:left w:w="0" w:type="dxa"/>
          <w:right w:w="0" w:type="dxa"/>
        </w:tblCellMar>
        <w:tblLook w:val="04A0" w:firstRow="1" w:lastRow="0" w:firstColumn="1" w:lastColumn="0" w:noHBand="0" w:noVBand="1"/>
      </w:tblPr>
      <w:tblGrid>
        <w:gridCol w:w="3337"/>
        <w:gridCol w:w="199"/>
        <w:gridCol w:w="655"/>
        <w:gridCol w:w="882"/>
        <w:gridCol w:w="2563"/>
        <w:gridCol w:w="864"/>
      </w:tblGrid>
      <w:tr w:rsidR="005C14A0" w:rsidRPr="00453A59" w:rsidTr="00263966">
        <w:trPr>
          <w:tblCellSpacing w:w="50" w:type="dxa"/>
          <w:jc w:val="center"/>
        </w:trPr>
        <w:tc>
          <w:tcPr>
            <w:tcW w:w="3240" w:type="dxa"/>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Material</w:t>
            </w:r>
          </w:p>
        </w:tc>
        <w:tc>
          <w:tcPr>
            <w:tcW w:w="100" w:type="dxa"/>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560" w:type="dxa"/>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proofErr w:type="gramStart"/>
            <w:r w:rsidRPr="00453A59">
              <w:rPr>
                <w:rFonts w:ascii="Times" w:hAnsi="Times"/>
                <w:sz w:val="20"/>
                <w:szCs w:val="20"/>
                <w:lang w:val="en-AU"/>
              </w:rPr>
              <w:t>k</w:t>
            </w:r>
            <w:proofErr w:type="gramEnd"/>
          </w:p>
        </w:tc>
        <w:tc>
          <w:tcPr>
            <w:tcW w:w="800" w:type="dxa"/>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2500" w:type="dxa"/>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Material</w:t>
            </w:r>
          </w:p>
        </w:tc>
        <w:tc>
          <w:tcPr>
            <w:tcW w:w="720" w:type="dxa"/>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proofErr w:type="gramStart"/>
            <w:r w:rsidRPr="00453A59">
              <w:rPr>
                <w:rFonts w:ascii="Times" w:hAnsi="Times"/>
                <w:sz w:val="20"/>
                <w:szCs w:val="20"/>
                <w:lang w:val="en-AU"/>
              </w:rPr>
              <w:t>k</w:t>
            </w:r>
            <w:proofErr w:type="gramEnd"/>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proofErr w:type="spellStart"/>
            <w:r w:rsidRPr="00453A59">
              <w:rPr>
                <w:rFonts w:ascii="Times" w:hAnsi="Times"/>
                <w:sz w:val="20"/>
                <w:szCs w:val="20"/>
                <w:lang w:val="en-AU"/>
              </w:rPr>
              <w:t>Aluminum</w:t>
            </w:r>
            <w:proofErr w:type="spellEnd"/>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237</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Sand</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0.06</w:t>
            </w:r>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Brass</w:t>
            </w:r>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110</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Cellulose</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0.039</w:t>
            </w:r>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Copper</w:t>
            </w:r>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398</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Glass wool</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0.040</w:t>
            </w:r>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Gold</w:t>
            </w:r>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315</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Cotton wool</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0.029</w:t>
            </w:r>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Cast Iron</w:t>
            </w:r>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55</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Sheep's wool</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0.038</w:t>
            </w:r>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Lead</w:t>
            </w:r>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35.2</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Cellulose</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0.039</w:t>
            </w:r>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Silver</w:t>
            </w:r>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427</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Expanded Polystyrene</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0.03</w:t>
            </w:r>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Zinc</w:t>
            </w:r>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113</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Wood</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0.13</w:t>
            </w:r>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Polyethylene (HDPE)</w:t>
            </w:r>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0.5</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Acetone</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0.16</w:t>
            </w:r>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Polyvinyl chloride (PVC)</w:t>
            </w:r>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0.19</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Water</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0.58</w:t>
            </w:r>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Dense Brick</w:t>
            </w:r>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1.6</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Air</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0.024</w:t>
            </w:r>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Concrete (Low Density)</w:t>
            </w:r>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0.2</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Argon</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0.016</w:t>
            </w:r>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Concrete (High Density)</w:t>
            </w:r>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1.5</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Helium</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0.142</w:t>
            </w:r>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Ice</w:t>
            </w:r>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2.18</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Oxygen</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0.024</w:t>
            </w:r>
          </w:p>
        </w:tc>
      </w:tr>
      <w:tr w:rsidR="005C14A0" w:rsidRPr="00453A59" w:rsidTr="00263966">
        <w:trPr>
          <w:tblCellSpacing w:w="50" w:type="dxa"/>
          <w:jc w:val="center"/>
        </w:trPr>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Porcelain</w:t>
            </w:r>
          </w:p>
        </w:tc>
        <w:tc>
          <w:tcPr>
            <w:tcW w:w="0" w:type="auto"/>
            <w:vAlign w:val="center"/>
            <w:hideMark/>
          </w:tcPr>
          <w:p w:rsidR="005C14A0" w:rsidRPr="00453A59" w:rsidRDefault="005C14A0" w:rsidP="00263966">
            <w:pPr>
              <w:rPr>
                <w:rFonts w:ascii="Times" w:eastAsia="Times New Roman" w:hAnsi="Times"/>
                <w:sz w:val="20"/>
                <w:szCs w:val="20"/>
                <w:lang w:val="en-AU"/>
              </w:rPr>
            </w:pPr>
            <w:r w:rsidRPr="00453A59">
              <w:rPr>
                <w:rFonts w:ascii="Times" w:eastAsia="Times New Roman"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1.05</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 </w:t>
            </w:r>
          </w:p>
        </w:tc>
        <w:tc>
          <w:tcPr>
            <w:tcW w:w="0" w:type="auto"/>
            <w:vAlign w:val="center"/>
            <w:hideMark/>
          </w:tcPr>
          <w:p w:rsidR="005C14A0" w:rsidRPr="00453A59" w:rsidRDefault="005C14A0" w:rsidP="00263966">
            <w:pPr>
              <w:spacing w:before="100" w:beforeAutospacing="1" w:after="100" w:afterAutospacing="1"/>
              <w:rPr>
                <w:rFonts w:ascii="Times" w:hAnsi="Times"/>
                <w:sz w:val="20"/>
                <w:szCs w:val="20"/>
                <w:lang w:val="en-AU"/>
              </w:rPr>
            </w:pPr>
            <w:r w:rsidRPr="00453A59">
              <w:rPr>
                <w:rFonts w:ascii="Times" w:hAnsi="Times"/>
                <w:sz w:val="20"/>
                <w:szCs w:val="20"/>
                <w:lang w:val="en-AU"/>
              </w:rPr>
              <w:t>Nitrogen</w:t>
            </w:r>
          </w:p>
        </w:tc>
        <w:tc>
          <w:tcPr>
            <w:tcW w:w="0" w:type="auto"/>
            <w:vAlign w:val="center"/>
            <w:hideMark/>
          </w:tcPr>
          <w:p w:rsidR="005C14A0" w:rsidRPr="00453A59" w:rsidRDefault="005C14A0" w:rsidP="00263966">
            <w:pPr>
              <w:spacing w:before="100" w:beforeAutospacing="1" w:after="100" w:afterAutospacing="1"/>
              <w:jc w:val="center"/>
              <w:rPr>
                <w:rFonts w:ascii="Times" w:hAnsi="Times"/>
                <w:sz w:val="20"/>
                <w:szCs w:val="20"/>
                <w:lang w:val="en-AU"/>
              </w:rPr>
            </w:pPr>
            <w:r w:rsidRPr="00453A59">
              <w:rPr>
                <w:rFonts w:ascii="Times" w:hAnsi="Times"/>
                <w:sz w:val="20"/>
                <w:szCs w:val="20"/>
                <w:lang w:val="en-AU"/>
              </w:rPr>
              <w:t>0.024</w:t>
            </w:r>
          </w:p>
        </w:tc>
      </w:tr>
    </w:tbl>
    <w:p w:rsidR="005C14A0" w:rsidRPr="00453A59" w:rsidRDefault="005C14A0" w:rsidP="005C14A0">
      <w:pPr>
        <w:spacing w:before="100" w:beforeAutospacing="1" w:after="100" w:afterAutospacing="1"/>
        <w:jc w:val="center"/>
        <w:rPr>
          <w:rFonts w:ascii="Times" w:hAnsi="Times"/>
          <w:sz w:val="20"/>
          <w:szCs w:val="20"/>
          <w:lang w:val="en-AU"/>
        </w:rPr>
      </w:pPr>
      <w:r w:rsidRPr="00453A59">
        <w:rPr>
          <w:rFonts w:ascii="Times" w:hAnsi="Times"/>
          <w:sz w:val="20"/>
          <w:szCs w:val="20"/>
          <w:lang w:val="en-AU"/>
        </w:rPr>
        <w:t xml:space="preserve">Source: </w:t>
      </w:r>
      <w:hyperlink r:id="rId6" w:history="1">
        <w:r w:rsidRPr="00453A59">
          <w:rPr>
            <w:rFonts w:ascii="Times" w:hAnsi="Times"/>
            <w:color w:val="0000FF"/>
            <w:sz w:val="20"/>
            <w:szCs w:val="20"/>
            <w:u w:val="single"/>
            <w:lang w:val="en-AU"/>
          </w:rPr>
          <w:t>http://www.roymech.co.uk/Related/Thermos/Thermos_HeatTransfer.html</w:t>
        </w:r>
      </w:hyperlink>
    </w:p>
    <w:p w:rsidR="005355A2" w:rsidRDefault="005C14A0"/>
    <w:sectPr w:rsidR="005355A2" w:rsidSect="005355A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A0"/>
    <w:rsid w:val="001762C2"/>
    <w:rsid w:val="005C1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5601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ymech.co.uk/Related/Thermos/Thermos_HeatTransfer.html" TargetMode="External"/><Relationship Id="rId6" Type="http://schemas.openxmlformats.org/officeDocument/2006/relationships/hyperlink" Target="http://www.roymech.co.uk/Related/Thermos/Thermos_HeatTransfer.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1163</Characters>
  <Application>Microsoft Macintosh Word</Application>
  <DocSecurity>0</DocSecurity>
  <Lines>9</Lines>
  <Paragraphs>2</Paragraphs>
  <ScaleCrop>false</ScaleCrop>
  <Company>teacher</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Judy Stephenson</cp:lastModifiedBy>
  <cp:revision>1</cp:revision>
  <dcterms:created xsi:type="dcterms:W3CDTF">2014-04-21T01:54:00Z</dcterms:created>
  <dcterms:modified xsi:type="dcterms:W3CDTF">2014-04-21T02:01:00Z</dcterms:modified>
</cp:coreProperties>
</file>